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1AD" w:rsidRPr="00FF3062" w:rsidRDefault="000361AD" w:rsidP="000361AD">
      <w:pPr>
        <w:ind w:left="-851" w:right="-897"/>
        <w:jc w:val="center"/>
        <w:rPr>
          <w:rFonts w:cs="Times New Roman"/>
          <w:b/>
          <w:color w:val="000000" w:themeColor="text1"/>
          <w:sz w:val="36"/>
          <w:szCs w:val="36"/>
        </w:rPr>
      </w:pPr>
      <w:r w:rsidRPr="00FF3062">
        <w:rPr>
          <w:rFonts w:cs="Times New Roman"/>
          <w:b/>
          <w:color w:val="000000" w:themeColor="text1"/>
          <w:sz w:val="36"/>
          <w:szCs w:val="36"/>
        </w:rPr>
        <w:t>MOUNT ORIEL MEDICAL PRACTICE</w:t>
      </w:r>
    </w:p>
    <w:p w:rsidR="000361AD" w:rsidRPr="002F3C68" w:rsidRDefault="000361AD" w:rsidP="000361AD">
      <w:pPr>
        <w:ind w:left="-851" w:right="-897"/>
        <w:rPr>
          <w:rFonts w:cs="Times New Roman"/>
          <w:b/>
          <w:color w:val="000000" w:themeColor="text1"/>
          <w:sz w:val="36"/>
          <w:szCs w:val="36"/>
        </w:rPr>
      </w:pPr>
      <w:r w:rsidRPr="00FF3062">
        <w:rPr>
          <w:rFonts w:cs="Times New Roman"/>
          <w:b/>
          <w:color w:val="000000" w:themeColor="text1"/>
          <w:sz w:val="36"/>
          <w:szCs w:val="36"/>
        </w:rPr>
        <w:t xml:space="preserve">Privacy Notice – </w:t>
      </w:r>
      <w:r w:rsidR="00460DC4">
        <w:rPr>
          <w:rFonts w:cs="Times New Roman"/>
          <w:b/>
          <w:color w:val="000000" w:themeColor="text1"/>
          <w:sz w:val="36"/>
          <w:szCs w:val="36"/>
        </w:rPr>
        <w:t>Medical Defence Organisations</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59"/>
        <w:gridCol w:w="7273"/>
      </w:tblGrid>
      <w:tr w:rsidR="000361AD" w:rsidRPr="000361AD" w:rsidTr="000361AD">
        <w:trPr>
          <w:trHeight w:val="300"/>
        </w:trPr>
        <w:tc>
          <w:tcPr>
            <w:tcW w:w="10632" w:type="dxa"/>
            <w:gridSpan w:val="2"/>
            <w:noWrap/>
          </w:tcPr>
          <w:p w:rsidR="00460DC4" w:rsidRPr="003C341B" w:rsidRDefault="00460DC4" w:rsidP="00460DC4">
            <w:pPr>
              <w:spacing w:after="0" w:line="240" w:lineRule="auto"/>
              <w:rPr>
                <w:rFonts w:ascii="Times New Roman" w:hAnsi="Times New Roman"/>
                <w:color w:val="000000"/>
                <w:sz w:val="28"/>
                <w:szCs w:val="28"/>
                <w:lang w:eastAsia="en-GB"/>
              </w:rPr>
            </w:pPr>
            <w:r w:rsidRPr="00460DC4">
              <w:rPr>
                <w:color w:val="000000"/>
                <w:sz w:val="24"/>
                <w:szCs w:val="24"/>
                <w:lang w:eastAsia="en-GB"/>
              </w:rPr>
              <w:t>In the event of a doctor having to obtain legal advice in relation to proceedings related to the care of a patient, the law allows patient information to be shared with medico-legal advisors</w:t>
            </w:r>
            <w:r>
              <w:rPr>
                <w:rFonts w:ascii="Times New Roman" w:hAnsi="Times New Roman"/>
                <w:color w:val="000000"/>
                <w:sz w:val="28"/>
                <w:szCs w:val="28"/>
                <w:lang w:eastAsia="en-GB"/>
              </w:rPr>
              <w:t xml:space="preserve">.  </w:t>
            </w:r>
          </w:p>
          <w:p w:rsidR="000F7195" w:rsidRPr="00C948F1" w:rsidRDefault="000F7195" w:rsidP="000F7195">
            <w:pPr>
              <w:spacing w:after="0" w:line="240" w:lineRule="auto"/>
              <w:rPr>
                <w:rFonts w:ascii="Times New Roman" w:hAnsi="Times New Roman"/>
                <w:color w:val="000000"/>
                <w:sz w:val="28"/>
                <w:szCs w:val="28"/>
                <w:lang w:eastAsia="en-GB"/>
              </w:rPr>
            </w:pPr>
          </w:p>
          <w:p w:rsidR="000361AD" w:rsidRPr="000361AD" w:rsidRDefault="000361AD" w:rsidP="00607CA4">
            <w:pPr>
              <w:spacing w:after="0" w:line="240" w:lineRule="auto"/>
              <w:jc w:val="both"/>
              <w:rPr>
                <w:color w:val="000000"/>
                <w:sz w:val="24"/>
                <w:szCs w:val="24"/>
                <w:lang w:eastAsia="en-GB"/>
              </w:rPr>
            </w:pPr>
          </w:p>
        </w:tc>
      </w:tr>
      <w:tr w:rsidR="000361AD" w:rsidRPr="000361AD" w:rsidTr="000361AD">
        <w:trPr>
          <w:trHeight w:val="714"/>
        </w:trPr>
        <w:tc>
          <w:tcPr>
            <w:tcW w:w="3359" w:type="dxa"/>
            <w:noWrap/>
          </w:tcPr>
          <w:p w:rsidR="000361AD" w:rsidRDefault="000361AD">
            <w:r>
              <w:rPr>
                <w:color w:val="000000"/>
                <w:sz w:val="24"/>
                <w:szCs w:val="24"/>
                <w:lang w:eastAsia="en-GB"/>
              </w:rPr>
              <w:t>1</w:t>
            </w:r>
            <w:r w:rsidRPr="00D37E98">
              <w:rPr>
                <w:b/>
                <w:color w:val="000000"/>
                <w:sz w:val="24"/>
                <w:szCs w:val="24"/>
                <w:lang w:eastAsia="en-GB"/>
              </w:rPr>
              <w:t xml:space="preserve">) Data Controller </w:t>
            </w:r>
            <w:r w:rsidRPr="00D37E98">
              <w:rPr>
                <w:color w:val="000000"/>
                <w:sz w:val="24"/>
                <w:szCs w:val="24"/>
                <w:lang w:eastAsia="en-GB"/>
              </w:rPr>
              <w:t>contact details</w:t>
            </w:r>
          </w:p>
        </w:tc>
        <w:tc>
          <w:tcPr>
            <w:tcW w:w="7273" w:type="dxa"/>
            <w:noWrap/>
          </w:tcPr>
          <w:p w:rsidR="000361AD" w:rsidRPr="00FF3062" w:rsidRDefault="000361AD" w:rsidP="000361AD">
            <w:pPr>
              <w:tabs>
                <w:tab w:val="left" w:pos="684"/>
              </w:tabs>
              <w:spacing w:after="0" w:line="240" w:lineRule="auto"/>
              <w:ind w:right="-897"/>
              <w:rPr>
                <w:sz w:val="24"/>
                <w:szCs w:val="24"/>
                <w:lang w:eastAsia="en-GB"/>
              </w:rPr>
            </w:pPr>
            <w:r w:rsidRPr="00FF3062">
              <w:rPr>
                <w:sz w:val="24"/>
                <w:szCs w:val="24"/>
                <w:lang w:eastAsia="en-GB"/>
              </w:rPr>
              <w:t>Mrs Roberta Walsh, Practice Manager, Mount Oriel Medical Practice, Knockbreda Centre,  110 Saintfield Road, Belfast BT8 6GR Tel: 028 9070 1653</w:t>
            </w:r>
          </w:p>
          <w:p w:rsidR="000361AD" w:rsidRDefault="000361AD"/>
        </w:tc>
      </w:tr>
      <w:tr w:rsidR="000361AD" w:rsidRPr="000361AD" w:rsidTr="000361AD">
        <w:trPr>
          <w:trHeight w:val="413"/>
        </w:trPr>
        <w:tc>
          <w:tcPr>
            <w:tcW w:w="3359" w:type="dxa"/>
            <w:noWrap/>
          </w:tcPr>
          <w:p w:rsidR="000361AD" w:rsidRPr="00FF3062" w:rsidRDefault="000361AD" w:rsidP="000361AD">
            <w:pPr>
              <w:spacing w:after="0" w:line="240" w:lineRule="auto"/>
              <w:rPr>
                <w:color w:val="000000"/>
                <w:sz w:val="24"/>
                <w:szCs w:val="24"/>
                <w:lang w:eastAsia="en-GB"/>
              </w:rPr>
            </w:pPr>
            <w:r w:rsidRPr="000361AD">
              <w:rPr>
                <w:color w:val="000000"/>
                <w:sz w:val="24"/>
                <w:szCs w:val="24"/>
                <w:lang w:eastAsia="en-GB"/>
              </w:rPr>
              <w:t>2</w:t>
            </w:r>
            <w:r w:rsidRPr="00FF3062">
              <w:rPr>
                <w:b/>
                <w:color w:val="000000"/>
                <w:sz w:val="24"/>
                <w:szCs w:val="24"/>
                <w:lang w:eastAsia="en-GB"/>
              </w:rPr>
              <w:t xml:space="preserve">) Data Protection Officer </w:t>
            </w:r>
            <w:r w:rsidRPr="00FF3062">
              <w:rPr>
                <w:color w:val="000000"/>
                <w:sz w:val="24"/>
                <w:szCs w:val="24"/>
                <w:lang w:eastAsia="en-GB"/>
              </w:rPr>
              <w:t>contact details</w:t>
            </w:r>
          </w:p>
          <w:p w:rsidR="000361AD" w:rsidRPr="000361AD" w:rsidRDefault="000361AD" w:rsidP="00A86FF4">
            <w:pPr>
              <w:spacing w:after="0" w:line="240" w:lineRule="auto"/>
              <w:rPr>
                <w:color w:val="000000"/>
                <w:sz w:val="24"/>
                <w:szCs w:val="24"/>
                <w:lang w:eastAsia="en-GB"/>
              </w:rPr>
            </w:pPr>
          </w:p>
        </w:tc>
        <w:tc>
          <w:tcPr>
            <w:tcW w:w="7273" w:type="dxa"/>
            <w:noWrap/>
          </w:tcPr>
          <w:p w:rsidR="000361AD" w:rsidRPr="00FF3062" w:rsidRDefault="000361AD" w:rsidP="000361AD">
            <w:pPr>
              <w:tabs>
                <w:tab w:val="left" w:pos="684"/>
              </w:tabs>
              <w:spacing w:after="0" w:line="240" w:lineRule="auto"/>
              <w:ind w:right="-897"/>
              <w:rPr>
                <w:sz w:val="24"/>
                <w:szCs w:val="24"/>
                <w:lang w:eastAsia="en-GB"/>
              </w:rPr>
            </w:pPr>
            <w:r w:rsidRPr="00FF3062">
              <w:rPr>
                <w:sz w:val="24"/>
                <w:szCs w:val="24"/>
                <w:lang w:eastAsia="en-GB"/>
              </w:rPr>
              <w:t>Dr Sean Devine, Mount Oriel Medical Practice, Knockbreda Centre,  110 Saintfield Road, Belfast BT8 6GR Tel: 028 9070 1653</w:t>
            </w:r>
          </w:p>
          <w:p w:rsidR="000361AD" w:rsidRPr="000361AD" w:rsidRDefault="000361AD" w:rsidP="00A86FF4">
            <w:pPr>
              <w:spacing w:after="0" w:line="240" w:lineRule="auto"/>
              <w:rPr>
                <w:color w:val="000000"/>
                <w:sz w:val="24"/>
                <w:szCs w:val="24"/>
                <w:lang w:eastAsia="en-GB"/>
              </w:rPr>
            </w:pPr>
          </w:p>
        </w:tc>
      </w:tr>
      <w:tr w:rsidR="000361AD" w:rsidRPr="000361AD" w:rsidTr="000361AD">
        <w:trPr>
          <w:trHeight w:val="413"/>
        </w:trPr>
        <w:tc>
          <w:tcPr>
            <w:tcW w:w="3359" w:type="dxa"/>
            <w:noWrap/>
          </w:tcPr>
          <w:p w:rsidR="000361AD" w:rsidRPr="000361AD" w:rsidRDefault="000361AD" w:rsidP="00A86FF4">
            <w:pPr>
              <w:spacing w:after="0" w:line="240" w:lineRule="auto"/>
              <w:rPr>
                <w:color w:val="000000"/>
                <w:sz w:val="24"/>
                <w:szCs w:val="24"/>
                <w:lang w:eastAsia="en-GB"/>
              </w:rPr>
            </w:pPr>
            <w:r w:rsidRPr="000361AD">
              <w:rPr>
                <w:color w:val="000000"/>
                <w:sz w:val="24"/>
                <w:szCs w:val="24"/>
                <w:lang w:eastAsia="en-GB"/>
              </w:rPr>
              <w:t xml:space="preserve">3) </w:t>
            </w:r>
            <w:r w:rsidRPr="000361AD">
              <w:rPr>
                <w:b/>
                <w:color w:val="000000"/>
                <w:sz w:val="24"/>
                <w:szCs w:val="24"/>
                <w:lang w:eastAsia="en-GB"/>
              </w:rPr>
              <w:t>Purpose</w:t>
            </w:r>
            <w:r w:rsidRPr="000361AD">
              <w:rPr>
                <w:color w:val="000000"/>
                <w:sz w:val="24"/>
                <w:szCs w:val="24"/>
                <w:lang w:eastAsia="en-GB"/>
              </w:rPr>
              <w:t xml:space="preserve"> of the sharing</w:t>
            </w:r>
          </w:p>
        </w:tc>
        <w:tc>
          <w:tcPr>
            <w:tcW w:w="7273" w:type="dxa"/>
            <w:noWrap/>
          </w:tcPr>
          <w:p w:rsidR="00607CA4" w:rsidRPr="00460DC4" w:rsidRDefault="00460DC4" w:rsidP="00A86FF4">
            <w:pPr>
              <w:spacing w:after="0" w:line="240" w:lineRule="auto"/>
              <w:rPr>
                <w:color w:val="000000"/>
                <w:sz w:val="24"/>
                <w:szCs w:val="24"/>
                <w:lang w:eastAsia="en-GB"/>
              </w:rPr>
            </w:pPr>
            <w:r w:rsidRPr="00460DC4">
              <w:rPr>
                <w:color w:val="000000"/>
                <w:sz w:val="24"/>
                <w:szCs w:val="24"/>
                <w:lang w:eastAsia="en-GB"/>
              </w:rPr>
              <w:t>Health records can be reviewed by independent medico-legal experts.</w:t>
            </w:r>
          </w:p>
        </w:tc>
      </w:tr>
      <w:tr w:rsidR="000361AD" w:rsidRPr="000361AD" w:rsidTr="000361AD">
        <w:trPr>
          <w:trHeight w:val="300"/>
        </w:trPr>
        <w:tc>
          <w:tcPr>
            <w:tcW w:w="3359" w:type="dxa"/>
            <w:noWrap/>
          </w:tcPr>
          <w:p w:rsidR="000361AD" w:rsidRPr="000361AD" w:rsidRDefault="000361AD" w:rsidP="00A86FF4">
            <w:pPr>
              <w:spacing w:after="0" w:line="240" w:lineRule="auto"/>
              <w:rPr>
                <w:color w:val="000000"/>
                <w:sz w:val="24"/>
                <w:szCs w:val="24"/>
                <w:lang w:eastAsia="en-GB"/>
              </w:rPr>
            </w:pPr>
            <w:r w:rsidRPr="000361AD">
              <w:rPr>
                <w:color w:val="000000"/>
                <w:sz w:val="24"/>
                <w:szCs w:val="24"/>
                <w:lang w:eastAsia="en-GB"/>
              </w:rPr>
              <w:t xml:space="preserve">4) </w:t>
            </w:r>
            <w:r w:rsidRPr="000361AD">
              <w:rPr>
                <w:b/>
                <w:color w:val="000000"/>
                <w:sz w:val="24"/>
                <w:szCs w:val="24"/>
                <w:lang w:eastAsia="en-GB"/>
              </w:rPr>
              <w:t>Lawful basis</w:t>
            </w:r>
            <w:r w:rsidRPr="000361AD">
              <w:rPr>
                <w:color w:val="000000"/>
                <w:sz w:val="24"/>
                <w:szCs w:val="24"/>
                <w:lang w:eastAsia="en-GB"/>
              </w:rPr>
              <w:t xml:space="preserve"> for processing or sharing</w:t>
            </w:r>
          </w:p>
        </w:tc>
        <w:tc>
          <w:tcPr>
            <w:tcW w:w="7273" w:type="dxa"/>
            <w:noWrap/>
          </w:tcPr>
          <w:p w:rsidR="00460DC4" w:rsidRPr="00460DC4" w:rsidRDefault="00460DC4" w:rsidP="00460DC4">
            <w:pPr>
              <w:rPr>
                <w:sz w:val="24"/>
                <w:szCs w:val="24"/>
              </w:rPr>
            </w:pPr>
            <w:r w:rsidRPr="00460DC4">
              <w:rPr>
                <w:sz w:val="24"/>
                <w:szCs w:val="24"/>
              </w:rPr>
              <w:t>The Schedule 2 Paragraph 5 of the forthcoming Data Protection Bill 2018 states:</w:t>
            </w:r>
          </w:p>
          <w:p w:rsidR="00460DC4" w:rsidRPr="00460DC4" w:rsidRDefault="00460DC4" w:rsidP="00460DC4">
            <w:pPr>
              <w:rPr>
                <w:b/>
                <w:i/>
                <w:sz w:val="24"/>
                <w:szCs w:val="24"/>
              </w:rPr>
            </w:pPr>
            <w:r w:rsidRPr="00460DC4">
              <w:rPr>
                <w:b/>
                <w:i/>
                <w:sz w:val="24"/>
                <w:szCs w:val="24"/>
              </w:rPr>
              <w:t>Information required to be disclosed by law etc. or in connection with legal proceedings</w:t>
            </w:r>
            <w:r w:rsidRPr="00460DC4">
              <w:rPr>
                <w:b/>
                <w:i/>
                <w:sz w:val="24"/>
                <w:szCs w:val="24"/>
              </w:rPr>
              <w:br/>
              <w:t>5(3)</w:t>
            </w:r>
          </w:p>
          <w:p w:rsidR="00460DC4" w:rsidRPr="00460DC4" w:rsidRDefault="00460DC4" w:rsidP="00460DC4">
            <w:pPr>
              <w:rPr>
                <w:i/>
                <w:sz w:val="24"/>
                <w:szCs w:val="24"/>
              </w:rPr>
            </w:pPr>
            <w:r w:rsidRPr="00460DC4">
              <w:rPr>
                <w:i/>
                <w:sz w:val="24"/>
                <w:szCs w:val="24"/>
              </w:rPr>
              <w:t>The listed GDPR provisions do not apply to personal data where disclosure of the data is necessary</w:t>
            </w:r>
          </w:p>
          <w:p w:rsidR="00460DC4" w:rsidRPr="00460DC4" w:rsidRDefault="00460DC4" w:rsidP="00460DC4">
            <w:pPr>
              <w:rPr>
                <w:i/>
                <w:sz w:val="24"/>
                <w:szCs w:val="24"/>
              </w:rPr>
            </w:pPr>
            <w:r w:rsidRPr="00460DC4">
              <w:rPr>
                <w:i/>
                <w:sz w:val="24"/>
                <w:szCs w:val="24"/>
              </w:rPr>
              <w:t xml:space="preserve"> (a) for the purpose of, or in connection with, legal proceedings (including prospective legal proceedings), or </w:t>
            </w:r>
            <w:r w:rsidRPr="00460DC4">
              <w:rPr>
                <w:i/>
                <w:sz w:val="24"/>
                <w:szCs w:val="24"/>
              </w:rPr>
              <w:br/>
              <w:t>(b) for the purpose of obtaining legal advice or otherwise establishing, exercising or defending legal rights</w:t>
            </w:r>
          </w:p>
          <w:p w:rsidR="00460DC4" w:rsidRPr="00460DC4" w:rsidRDefault="00460DC4" w:rsidP="00460DC4">
            <w:pPr>
              <w:rPr>
                <w:i/>
                <w:sz w:val="24"/>
                <w:szCs w:val="24"/>
              </w:rPr>
            </w:pPr>
            <w:proofErr w:type="gramStart"/>
            <w:r w:rsidRPr="00460DC4">
              <w:rPr>
                <w:i/>
                <w:sz w:val="24"/>
                <w:szCs w:val="24"/>
              </w:rPr>
              <w:t>to</w:t>
            </w:r>
            <w:proofErr w:type="gramEnd"/>
            <w:r w:rsidRPr="00460DC4">
              <w:rPr>
                <w:i/>
                <w:sz w:val="24"/>
                <w:szCs w:val="24"/>
              </w:rPr>
              <w:t xml:space="preserve"> the extent that the application of those provisions would prevent the control</w:t>
            </w:r>
            <w:r>
              <w:rPr>
                <w:i/>
                <w:sz w:val="24"/>
                <w:szCs w:val="24"/>
              </w:rPr>
              <w:t>ler from making the disclosure.</w:t>
            </w:r>
          </w:p>
          <w:p w:rsidR="00460DC4" w:rsidRDefault="00460DC4" w:rsidP="00460DC4">
            <w:pPr>
              <w:jc w:val="both"/>
              <w:rPr>
                <w:sz w:val="24"/>
                <w:szCs w:val="24"/>
              </w:rPr>
            </w:pPr>
            <w:r w:rsidRPr="00460DC4">
              <w:rPr>
                <w:sz w:val="24"/>
                <w:szCs w:val="24"/>
              </w:rPr>
              <w:t xml:space="preserve">When seeking </w:t>
            </w:r>
            <w:proofErr w:type="spellStart"/>
            <w:r w:rsidRPr="00460DC4">
              <w:rPr>
                <w:sz w:val="24"/>
                <w:szCs w:val="24"/>
              </w:rPr>
              <w:t>medicolegal</w:t>
            </w:r>
            <w:proofErr w:type="spellEnd"/>
            <w:r w:rsidRPr="00460DC4">
              <w:rPr>
                <w:sz w:val="24"/>
                <w:szCs w:val="24"/>
              </w:rPr>
              <w:t xml:space="preserve"> advice from defence organisations (i.e. </w:t>
            </w:r>
            <w:r w:rsidRPr="00460DC4">
              <w:rPr>
                <w:i/>
                <w:sz w:val="24"/>
                <w:szCs w:val="24"/>
              </w:rPr>
              <w:t xml:space="preserve">not formal or likely </w:t>
            </w:r>
            <w:r w:rsidRPr="00460DC4">
              <w:rPr>
                <w:sz w:val="24"/>
                <w:szCs w:val="24"/>
              </w:rPr>
              <w:t xml:space="preserve">legal proceedings as such) then information from an individual’s record may be disclosed to the supporting organisation. </w:t>
            </w:r>
          </w:p>
          <w:p w:rsidR="00460DC4" w:rsidRPr="00460DC4" w:rsidRDefault="00460DC4" w:rsidP="00460DC4">
            <w:pPr>
              <w:rPr>
                <w:sz w:val="24"/>
                <w:szCs w:val="24"/>
              </w:rPr>
            </w:pPr>
            <w:r w:rsidRPr="00460DC4">
              <w:rPr>
                <w:sz w:val="24"/>
                <w:szCs w:val="24"/>
              </w:rPr>
              <w:t>That information will be:</w:t>
            </w:r>
            <w:bookmarkStart w:id="0" w:name="_GoBack"/>
            <w:bookmarkEnd w:id="0"/>
            <w:r w:rsidRPr="00460DC4">
              <w:rPr>
                <w:sz w:val="24"/>
                <w:szCs w:val="24"/>
              </w:rPr>
              <w:br/>
            </w:r>
          </w:p>
          <w:p w:rsidR="00460DC4" w:rsidRPr="00460DC4" w:rsidRDefault="00460DC4" w:rsidP="00460DC4">
            <w:pPr>
              <w:numPr>
                <w:ilvl w:val="0"/>
                <w:numId w:val="2"/>
              </w:numPr>
              <w:rPr>
                <w:sz w:val="24"/>
                <w:szCs w:val="24"/>
              </w:rPr>
            </w:pPr>
            <w:r w:rsidRPr="00460DC4">
              <w:rPr>
                <w:sz w:val="24"/>
                <w:szCs w:val="24"/>
              </w:rPr>
              <w:t>Relevant (i.e. not the entire GP record)</w:t>
            </w:r>
          </w:p>
          <w:p w:rsidR="000F7195" w:rsidRPr="00460DC4" w:rsidRDefault="00460DC4" w:rsidP="00460DC4">
            <w:pPr>
              <w:numPr>
                <w:ilvl w:val="0"/>
                <w:numId w:val="2"/>
              </w:numPr>
              <w:rPr>
                <w:sz w:val="24"/>
                <w:szCs w:val="24"/>
              </w:rPr>
            </w:pPr>
            <w:r w:rsidRPr="00460DC4">
              <w:rPr>
                <w:sz w:val="24"/>
                <w:szCs w:val="24"/>
              </w:rPr>
              <w:t>Anonymised or de-identified</w:t>
            </w:r>
          </w:p>
        </w:tc>
      </w:tr>
      <w:tr w:rsidR="000361AD" w:rsidRPr="000361AD" w:rsidTr="000361AD">
        <w:trPr>
          <w:trHeight w:val="300"/>
        </w:trPr>
        <w:tc>
          <w:tcPr>
            <w:tcW w:w="3359" w:type="dxa"/>
            <w:noWrap/>
          </w:tcPr>
          <w:p w:rsidR="000361AD" w:rsidRPr="000361AD" w:rsidRDefault="000361AD" w:rsidP="00A86FF4">
            <w:pPr>
              <w:spacing w:after="0" w:line="240" w:lineRule="auto"/>
              <w:rPr>
                <w:color w:val="000000"/>
                <w:sz w:val="24"/>
                <w:szCs w:val="24"/>
                <w:lang w:eastAsia="en-GB"/>
              </w:rPr>
            </w:pPr>
            <w:r w:rsidRPr="000361AD">
              <w:rPr>
                <w:color w:val="000000"/>
                <w:sz w:val="24"/>
                <w:szCs w:val="24"/>
                <w:lang w:eastAsia="en-GB"/>
              </w:rPr>
              <w:t xml:space="preserve">5) </w:t>
            </w:r>
            <w:r w:rsidRPr="000361AD">
              <w:rPr>
                <w:b/>
                <w:color w:val="000000"/>
                <w:sz w:val="24"/>
                <w:szCs w:val="24"/>
                <w:lang w:eastAsia="en-GB"/>
              </w:rPr>
              <w:t xml:space="preserve">Recipient or categories of recipients </w:t>
            </w:r>
            <w:r w:rsidRPr="000361AD">
              <w:rPr>
                <w:color w:val="000000"/>
                <w:sz w:val="24"/>
                <w:szCs w:val="24"/>
                <w:lang w:eastAsia="en-GB"/>
              </w:rPr>
              <w:t>of the shared data</w:t>
            </w:r>
          </w:p>
        </w:tc>
        <w:tc>
          <w:tcPr>
            <w:tcW w:w="7273" w:type="dxa"/>
            <w:noWrap/>
          </w:tcPr>
          <w:p w:rsidR="000F7195" w:rsidRPr="00460DC4" w:rsidRDefault="00460DC4" w:rsidP="000361AD">
            <w:pPr>
              <w:spacing w:after="0" w:line="240" w:lineRule="auto"/>
              <w:jc w:val="both"/>
              <w:rPr>
                <w:color w:val="000000"/>
                <w:sz w:val="24"/>
                <w:szCs w:val="24"/>
                <w:lang w:eastAsia="en-GB"/>
              </w:rPr>
            </w:pPr>
            <w:r w:rsidRPr="00460DC4">
              <w:rPr>
                <w:color w:val="000000"/>
                <w:sz w:val="24"/>
                <w:szCs w:val="24"/>
                <w:lang w:eastAsia="en-GB"/>
              </w:rPr>
              <w:t xml:space="preserve">The data will be shared with the Medical defence organisation (MDU, MDDUS, </w:t>
            </w:r>
            <w:proofErr w:type="gramStart"/>
            <w:r w:rsidRPr="00460DC4">
              <w:rPr>
                <w:color w:val="000000"/>
                <w:sz w:val="24"/>
                <w:szCs w:val="24"/>
                <w:lang w:eastAsia="en-GB"/>
              </w:rPr>
              <w:t>MPS</w:t>
            </w:r>
            <w:proofErr w:type="gramEnd"/>
            <w:r w:rsidRPr="00460DC4">
              <w:rPr>
                <w:color w:val="000000"/>
                <w:sz w:val="24"/>
                <w:szCs w:val="24"/>
                <w:lang w:eastAsia="en-GB"/>
              </w:rPr>
              <w:t xml:space="preserve">) and any experts they employ. </w:t>
            </w:r>
          </w:p>
          <w:p w:rsidR="00460DC4" w:rsidRPr="00460DC4" w:rsidRDefault="00460DC4" w:rsidP="000361AD">
            <w:pPr>
              <w:spacing w:after="0" w:line="240" w:lineRule="auto"/>
              <w:jc w:val="both"/>
              <w:rPr>
                <w:color w:val="000000"/>
                <w:sz w:val="24"/>
                <w:szCs w:val="24"/>
                <w:lang w:eastAsia="en-GB"/>
              </w:rPr>
            </w:pPr>
          </w:p>
        </w:tc>
      </w:tr>
      <w:tr w:rsidR="000361AD" w:rsidRPr="000361AD" w:rsidTr="000361AD">
        <w:trPr>
          <w:trHeight w:val="300"/>
        </w:trPr>
        <w:tc>
          <w:tcPr>
            <w:tcW w:w="3359" w:type="dxa"/>
            <w:noWrap/>
          </w:tcPr>
          <w:p w:rsidR="000361AD" w:rsidRPr="000361AD" w:rsidRDefault="000361AD" w:rsidP="00A86FF4">
            <w:pPr>
              <w:spacing w:after="0" w:line="240" w:lineRule="auto"/>
              <w:rPr>
                <w:color w:val="000000"/>
                <w:sz w:val="24"/>
                <w:szCs w:val="24"/>
                <w:lang w:eastAsia="en-GB"/>
              </w:rPr>
            </w:pPr>
            <w:r w:rsidRPr="000361AD">
              <w:rPr>
                <w:color w:val="000000"/>
                <w:sz w:val="24"/>
                <w:szCs w:val="24"/>
                <w:lang w:eastAsia="en-GB"/>
              </w:rPr>
              <w:t xml:space="preserve">6) </w:t>
            </w:r>
            <w:r w:rsidRPr="000361AD">
              <w:rPr>
                <w:b/>
                <w:color w:val="000000"/>
                <w:sz w:val="24"/>
                <w:szCs w:val="24"/>
                <w:lang w:eastAsia="en-GB"/>
              </w:rPr>
              <w:t>Rights to object</w:t>
            </w:r>
            <w:r w:rsidRPr="000361AD">
              <w:rPr>
                <w:color w:val="000000"/>
                <w:sz w:val="24"/>
                <w:szCs w:val="24"/>
                <w:lang w:eastAsia="en-GB"/>
              </w:rPr>
              <w:t xml:space="preserve"> </w:t>
            </w:r>
          </w:p>
        </w:tc>
        <w:tc>
          <w:tcPr>
            <w:tcW w:w="7273" w:type="dxa"/>
            <w:noWrap/>
          </w:tcPr>
          <w:p w:rsidR="000361AD" w:rsidRPr="00460DC4" w:rsidRDefault="00460DC4" w:rsidP="00460DC4">
            <w:pPr>
              <w:spacing w:after="0" w:line="240" w:lineRule="auto"/>
              <w:rPr>
                <w:color w:val="000000"/>
                <w:sz w:val="24"/>
                <w:szCs w:val="24"/>
                <w:lang w:eastAsia="en-GB"/>
              </w:rPr>
            </w:pPr>
            <w:r w:rsidRPr="00460DC4">
              <w:rPr>
                <w:color w:val="000000"/>
                <w:sz w:val="24"/>
                <w:szCs w:val="24"/>
                <w:lang w:eastAsia="en-GB"/>
              </w:rPr>
              <w:t>None</w:t>
            </w:r>
          </w:p>
        </w:tc>
      </w:tr>
      <w:tr w:rsidR="000361AD" w:rsidRPr="000361AD" w:rsidTr="000361AD">
        <w:trPr>
          <w:trHeight w:val="300"/>
        </w:trPr>
        <w:tc>
          <w:tcPr>
            <w:tcW w:w="3359" w:type="dxa"/>
            <w:noWrap/>
          </w:tcPr>
          <w:p w:rsidR="000361AD" w:rsidRPr="000361AD" w:rsidRDefault="000361AD" w:rsidP="00A86FF4">
            <w:pPr>
              <w:spacing w:after="0" w:line="240" w:lineRule="auto"/>
              <w:rPr>
                <w:color w:val="000000"/>
                <w:sz w:val="24"/>
                <w:szCs w:val="24"/>
                <w:lang w:eastAsia="en-GB"/>
              </w:rPr>
            </w:pPr>
            <w:r w:rsidRPr="000361AD">
              <w:rPr>
                <w:color w:val="000000"/>
                <w:sz w:val="24"/>
                <w:szCs w:val="24"/>
                <w:lang w:eastAsia="en-GB"/>
              </w:rPr>
              <w:lastRenderedPageBreak/>
              <w:t xml:space="preserve">7) </w:t>
            </w:r>
            <w:r w:rsidRPr="000361AD">
              <w:rPr>
                <w:b/>
                <w:color w:val="000000"/>
                <w:sz w:val="24"/>
                <w:szCs w:val="24"/>
                <w:lang w:eastAsia="en-GB"/>
              </w:rPr>
              <w:t>Right to access and correct</w:t>
            </w:r>
          </w:p>
        </w:tc>
        <w:tc>
          <w:tcPr>
            <w:tcW w:w="7273" w:type="dxa"/>
            <w:noWrap/>
          </w:tcPr>
          <w:p w:rsidR="000F7195" w:rsidRPr="00460DC4" w:rsidRDefault="00460DC4" w:rsidP="000361AD">
            <w:pPr>
              <w:spacing w:after="0" w:line="240" w:lineRule="auto"/>
              <w:jc w:val="both"/>
              <w:rPr>
                <w:color w:val="000000"/>
                <w:sz w:val="24"/>
                <w:szCs w:val="24"/>
                <w:lang w:eastAsia="en-GB"/>
              </w:rPr>
            </w:pPr>
            <w:r w:rsidRPr="00460DC4">
              <w:rPr>
                <w:color w:val="000000"/>
                <w:sz w:val="24"/>
                <w:szCs w:val="24"/>
                <w:lang w:eastAsia="en-GB"/>
              </w:rPr>
              <w:t>You have the right to access the data that is being shared and have any inaccuracies corrected. There is no right to have accurate medical records deleted except when ordered by a court of Law.</w:t>
            </w:r>
          </w:p>
          <w:p w:rsidR="00460DC4" w:rsidRPr="00460DC4" w:rsidRDefault="00460DC4" w:rsidP="000361AD">
            <w:pPr>
              <w:spacing w:after="0" w:line="240" w:lineRule="auto"/>
              <w:jc w:val="both"/>
              <w:rPr>
                <w:color w:val="000000"/>
                <w:sz w:val="24"/>
                <w:szCs w:val="24"/>
                <w:lang w:eastAsia="en-GB"/>
              </w:rPr>
            </w:pPr>
          </w:p>
        </w:tc>
      </w:tr>
      <w:tr w:rsidR="000361AD" w:rsidRPr="000361AD" w:rsidTr="000361AD">
        <w:trPr>
          <w:trHeight w:val="300"/>
        </w:trPr>
        <w:tc>
          <w:tcPr>
            <w:tcW w:w="3359" w:type="dxa"/>
            <w:noWrap/>
          </w:tcPr>
          <w:p w:rsidR="000361AD" w:rsidRPr="000361AD" w:rsidRDefault="000361AD" w:rsidP="00A86FF4">
            <w:pPr>
              <w:spacing w:after="0" w:line="240" w:lineRule="auto"/>
              <w:rPr>
                <w:color w:val="000000"/>
                <w:sz w:val="24"/>
                <w:szCs w:val="24"/>
                <w:lang w:eastAsia="en-GB"/>
              </w:rPr>
            </w:pPr>
            <w:r w:rsidRPr="000361AD">
              <w:rPr>
                <w:color w:val="000000"/>
                <w:sz w:val="24"/>
                <w:szCs w:val="24"/>
                <w:lang w:eastAsia="en-GB"/>
              </w:rPr>
              <w:t>8</w:t>
            </w:r>
            <w:r w:rsidRPr="000361AD">
              <w:rPr>
                <w:b/>
                <w:color w:val="000000"/>
                <w:sz w:val="24"/>
                <w:szCs w:val="24"/>
                <w:lang w:eastAsia="en-GB"/>
              </w:rPr>
              <w:t>) Retention period</w:t>
            </w:r>
            <w:r w:rsidRPr="000361AD">
              <w:rPr>
                <w:color w:val="000000"/>
                <w:sz w:val="24"/>
                <w:szCs w:val="24"/>
                <w:lang w:eastAsia="en-GB"/>
              </w:rPr>
              <w:t xml:space="preserve"> </w:t>
            </w:r>
          </w:p>
        </w:tc>
        <w:tc>
          <w:tcPr>
            <w:tcW w:w="7273" w:type="dxa"/>
            <w:noWrap/>
          </w:tcPr>
          <w:p w:rsidR="00460DC4" w:rsidRPr="00460DC4" w:rsidRDefault="00460DC4" w:rsidP="00460DC4">
            <w:pPr>
              <w:spacing w:after="0" w:line="240" w:lineRule="auto"/>
              <w:rPr>
                <w:color w:val="000000"/>
                <w:sz w:val="24"/>
                <w:szCs w:val="24"/>
                <w:lang w:eastAsia="en-GB"/>
              </w:rPr>
            </w:pPr>
            <w:r w:rsidRPr="00460DC4">
              <w:rPr>
                <w:color w:val="000000"/>
                <w:sz w:val="24"/>
                <w:szCs w:val="24"/>
                <w:lang w:eastAsia="en-GB"/>
              </w:rPr>
              <w:t>Usually 10 years.</w:t>
            </w:r>
          </w:p>
          <w:p w:rsidR="00607CA4" w:rsidRPr="000F7195" w:rsidRDefault="00607CA4" w:rsidP="000361AD">
            <w:pPr>
              <w:spacing w:after="0" w:line="240" w:lineRule="auto"/>
              <w:rPr>
                <w:color w:val="000000"/>
                <w:sz w:val="24"/>
                <w:szCs w:val="24"/>
                <w:lang w:eastAsia="en-GB"/>
              </w:rPr>
            </w:pPr>
          </w:p>
        </w:tc>
      </w:tr>
      <w:tr w:rsidR="000361AD" w:rsidRPr="000361AD" w:rsidTr="000361AD">
        <w:trPr>
          <w:trHeight w:val="300"/>
        </w:trPr>
        <w:tc>
          <w:tcPr>
            <w:tcW w:w="3359" w:type="dxa"/>
            <w:noWrap/>
          </w:tcPr>
          <w:p w:rsidR="000361AD" w:rsidRPr="000361AD" w:rsidRDefault="000361AD" w:rsidP="00A86FF4">
            <w:pPr>
              <w:spacing w:after="0" w:line="240" w:lineRule="auto"/>
              <w:rPr>
                <w:color w:val="000000"/>
                <w:sz w:val="24"/>
                <w:szCs w:val="24"/>
                <w:lang w:eastAsia="en-GB"/>
              </w:rPr>
            </w:pPr>
            <w:r w:rsidRPr="000361AD">
              <w:rPr>
                <w:color w:val="000000"/>
                <w:sz w:val="24"/>
                <w:szCs w:val="24"/>
                <w:lang w:eastAsia="en-GB"/>
              </w:rPr>
              <w:t xml:space="preserve">9)  </w:t>
            </w:r>
            <w:r w:rsidRPr="000361AD">
              <w:rPr>
                <w:b/>
                <w:color w:val="000000"/>
                <w:sz w:val="24"/>
                <w:szCs w:val="24"/>
                <w:lang w:eastAsia="en-GB"/>
              </w:rPr>
              <w:t>Right to Complain</w:t>
            </w:r>
            <w:r w:rsidRPr="000361AD">
              <w:rPr>
                <w:color w:val="000000"/>
                <w:sz w:val="24"/>
                <w:szCs w:val="24"/>
                <w:lang w:eastAsia="en-GB"/>
              </w:rPr>
              <w:t xml:space="preserve">. </w:t>
            </w:r>
          </w:p>
        </w:tc>
        <w:tc>
          <w:tcPr>
            <w:tcW w:w="7273" w:type="dxa"/>
            <w:noWrap/>
          </w:tcPr>
          <w:p w:rsidR="000361AD" w:rsidRPr="000361AD" w:rsidRDefault="000361AD" w:rsidP="00A86FF4">
            <w:pPr>
              <w:spacing w:after="0" w:line="240" w:lineRule="auto"/>
              <w:rPr>
                <w:sz w:val="24"/>
                <w:szCs w:val="24"/>
                <w:lang w:eastAsia="en-GB"/>
              </w:rPr>
            </w:pPr>
            <w:r w:rsidRPr="000361AD">
              <w:rPr>
                <w:sz w:val="24"/>
                <w:szCs w:val="24"/>
                <w:lang w:eastAsia="en-GB"/>
              </w:rPr>
              <w:t>You have the right to complain to the Information Commissioner’s Office, you can use this link</w:t>
            </w:r>
            <w:r w:rsidRPr="000361AD">
              <w:rPr>
                <w:sz w:val="24"/>
                <w:szCs w:val="24"/>
              </w:rPr>
              <w:t xml:space="preserve"> </w:t>
            </w:r>
            <w:hyperlink r:id="rId6" w:history="1">
              <w:r w:rsidRPr="000361AD">
                <w:rPr>
                  <w:rStyle w:val="Hyperlink"/>
                  <w:rFonts w:asciiTheme="minorHAnsi" w:hAnsiTheme="minorHAnsi"/>
                  <w:sz w:val="24"/>
                  <w:szCs w:val="24"/>
                  <w:lang w:eastAsia="en-GB"/>
                </w:rPr>
                <w:t>https://ico.org.uk/global/contact-us/</w:t>
              </w:r>
            </w:hyperlink>
            <w:r w:rsidRPr="000361AD">
              <w:rPr>
                <w:sz w:val="24"/>
                <w:szCs w:val="24"/>
                <w:lang w:eastAsia="en-GB"/>
              </w:rPr>
              <w:t xml:space="preserve">  </w:t>
            </w:r>
          </w:p>
          <w:p w:rsidR="000361AD" w:rsidRPr="000361AD" w:rsidRDefault="000361AD" w:rsidP="00A86FF4">
            <w:pPr>
              <w:spacing w:after="0" w:line="240" w:lineRule="auto"/>
              <w:rPr>
                <w:sz w:val="24"/>
                <w:szCs w:val="24"/>
                <w:lang w:eastAsia="en-GB"/>
              </w:rPr>
            </w:pPr>
          </w:p>
          <w:p w:rsidR="000361AD" w:rsidRPr="000361AD" w:rsidRDefault="000361AD" w:rsidP="00A86FF4">
            <w:pPr>
              <w:shd w:val="clear" w:color="auto" w:fill="FFFFFF"/>
              <w:spacing w:after="240" w:line="240" w:lineRule="auto"/>
              <w:rPr>
                <w:sz w:val="24"/>
                <w:szCs w:val="24"/>
                <w:lang w:eastAsia="en-GB"/>
              </w:rPr>
            </w:pPr>
            <w:r w:rsidRPr="000361AD">
              <w:rPr>
                <w:sz w:val="24"/>
                <w:szCs w:val="24"/>
                <w:lang w:eastAsia="en-GB"/>
              </w:rPr>
              <w:t xml:space="preserve">or calling their helpline Tel: 0303 123 1113 (local rate) or 01625 545 745 (national rate) </w:t>
            </w:r>
          </w:p>
          <w:p w:rsidR="000361AD" w:rsidRDefault="000361AD" w:rsidP="00A86FF4">
            <w:pPr>
              <w:spacing w:after="0" w:line="240" w:lineRule="auto"/>
              <w:rPr>
                <w:rStyle w:val="Hyperlink"/>
                <w:rFonts w:asciiTheme="minorHAnsi" w:hAnsiTheme="minorHAnsi"/>
                <w:color w:val="0059A9"/>
                <w:sz w:val="24"/>
                <w:szCs w:val="24"/>
                <w:shd w:val="clear" w:color="auto" w:fill="FFFFFF"/>
              </w:rPr>
            </w:pPr>
            <w:r w:rsidRPr="000361AD">
              <w:rPr>
                <w:color w:val="000000"/>
                <w:sz w:val="24"/>
                <w:szCs w:val="24"/>
                <w:shd w:val="clear" w:color="auto" w:fill="FFFFFF"/>
              </w:rPr>
              <w:t>The Information Commissioner’s Office – Northern Ireland</w:t>
            </w:r>
            <w:r w:rsidRPr="000361AD">
              <w:rPr>
                <w:color w:val="000000"/>
                <w:sz w:val="24"/>
                <w:szCs w:val="24"/>
              </w:rPr>
              <w:br/>
            </w:r>
            <w:r w:rsidRPr="000361AD">
              <w:rPr>
                <w:color w:val="000000"/>
                <w:sz w:val="24"/>
                <w:szCs w:val="24"/>
                <w:shd w:val="clear" w:color="auto" w:fill="FFFFFF"/>
              </w:rPr>
              <w:t>3rd Floor</w:t>
            </w:r>
            <w:r w:rsidRPr="000361AD">
              <w:rPr>
                <w:color w:val="000000"/>
                <w:sz w:val="24"/>
                <w:szCs w:val="24"/>
              </w:rPr>
              <w:br/>
            </w:r>
            <w:r w:rsidRPr="000361AD">
              <w:rPr>
                <w:color w:val="000000"/>
                <w:sz w:val="24"/>
                <w:szCs w:val="24"/>
                <w:shd w:val="clear" w:color="auto" w:fill="FFFFFF"/>
              </w:rPr>
              <w:t xml:space="preserve">14 </w:t>
            </w:r>
            <w:proofErr w:type="spellStart"/>
            <w:r w:rsidRPr="000361AD">
              <w:rPr>
                <w:color w:val="000000"/>
                <w:sz w:val="24"/>
                <w:szCs w:val="24"/>
                <w:shd w:val="clear" w:color="auto" w:fill="FFFFFF"/>
              </w:rPr>
              <w:t>Cromac</w:t>
            </w:r>
            <w:proofErr w:type="spellEnd"/>
            <w:r w:rsidRPr="000361AD">
              <w:rPr>
                <w:color w:val="000000"/>
                <w:sz w:val="24"/>
                <w:szCs w:val="24"/>
                <w:shd w:val="clear" w:color="auto" w:fill="FFFFFF"/>
              </w:rPr>
              <w:t xml:space="preserve"> Place, </w:t>
            </w:r>
            <w:r w:rsidRPr="000361AD">
              <w:rPr>
                <w:color w:val="000000"/>
                <w:sz w:val="24"/>
                <w:szCs w:val="24"/>
              </w:rPr>
              <w:br/>
            </w:r>
            <w:r w:rsidRPr="000361AD">
              <w:rPr>
                <w:color w:val="000000"/>
                <w:sz w:val="24"/>
                <w:szCs w:val="24"/>
                <w:shd w:val="clear" w:color="auto" w:fill="FFFFFF"/>
              </w:rPr>
              <w:t>Belfast</w:t>
            </w:r>
            <w:r w:rsidRPr="000361AD">
              <w:rPr>
                <w:color w:val="000000"/>
                <w:sz w:val="24"/>
                <w:szCs w:val="24"/>
              </w:rPr>
              <w:br/>
            </w:r>
            <w:r w:rsidRPr="000361AD">
              <w:rPr>
                <w:color w:val="000000"/>
                <w:sz w:val="24"/>
                <w:szCs w:val="24"/>
                <w:shd w:val="clear" w:color="auto" w:fill="FFFFFF"/>
              </w:rPr>
              <w:t>BT7 2JB</w:t>
            </w:r>
            <w:r w:rsidRPr="000361AD">
              <w:rPr>
                <w:color w:val="000000"/>
                <w:sz w:val="24"/>
                <w:szCs w:val="24"/>
              </w:rPr>
              <w:br/>
            </w:r>
            <w:r w:rsidRPr="000361AD">
              <w:rPr>
                <w:color w:val="000000"/>
                <w:sz w:val="24"/>
                <w:szCs w:val="24"/>
              </w:rPr>
              <w:br/>
            </w:r>
            <w:r w:rsidRPr="000361AD">
              <w:rPr>
                <w:color w:val="000000"/>
                <w:sz w:val="24"/>
                <w:szCs w:val="24"/>
                <w:shd w:val="clear" w:color="auto" w:fill="FFFFFF"/>
              </w:rPr>
              <w:t>Telephone: 028 9027 8757 / 0303 123 1114</w:t>
            </w:r>
            <w:r w:rsidRPr="000361AD">
              <w:rPr>
                <w:color w:val="000000"/>
                <w:sz w:val="24"/>
                <w:szCs w:val="24"/>
              </w:rPr>
              <w:br/>
            </w:r>
            <w:r w:rsidRPr="000361AD">
              <w:rPr>
                <w:color w:val="000000"/>
                <w:sz w:val="24"/>
                <w:szCs w:val="24"/>
                <w:shd w:val="clear" w:color="auto" w:fill="FFFFFF"/>
              </w:rPr>
              <w:t>Email: </w:t>
            </w:r>
            <w:hyperlink r:id="rId7" w:history="1">
              <w:r w:rsidRPr="000361AD">
                <w:rPr>
                  <w:rStyle w:val="Hyperlink"/>
                  <w:rFonts w:asciiTheme="minorHAnsi" w:hAnsiTheme="minorHAnsi"/>
                  <w:color w:val="0059A9"/>
                  <w:sz w:val="24"/>
                  <w:szCs w:val="24"/>
                  <w:shd w:val="clear" w:color="auto" w:fill="FFFFFF"/>
                </w:rPr>
                <w:t>ni@ico.org.uk</w:t>
              </w:r>
            </w:hyperlink>
          </w:p>
          <w:p w:rsidR="00607CA4" w:rsidRPr="000361AD" w:rsidRDefault="00607CA4" w:rsidP="00A86FF4">
            <w:pPr>
              <w:spacing w:after="0" w:line="240" w:lineRule="auto"/>
              <w:rPr>
                <w:color w:val="000000"/>
                <w:sz w:val="24"/>
                <w:szCs w:val="24"/>
                <w:lang w:eastAsia="en-GB"/>
              </w:rPr>
            </w:pPr>
          </w:p>
        </w:tc>
      </w:tr>
    </w:tbl>
    <w:p w:rsidR="000361AD" w:rsidRPr="000361AD" w:rsidRDefault="000361AD" w:rsidP="000361AD">
      <w:pPr>
        <w:rPr>
          <w:sz w:val="24"/>
          <w:szCs w:val="24"/>
        </w:rPr>
      </w:pPr>
    </w:p>
    <w:p w:rsidR="000361AD" w:rsidRPr="00D67FA9" w:rsidRDefault="000361AD" w:rsidP="000361AD">
      <w:pPr>
        <w:ind w:left="-851" w:right="-897"/>
        <w:rPr>
          <w:sz w:val="24"/>
          <w:szCs w:val="24"/>
        </w:rPr>
      </w:pPr>
      <w:r w:rsidRPr="00D67FA9">
        <w:rPr>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0361AD" w:rsidRPr="00D67FA9" w:rsidRDefault="000361AD" w:rsidP="000361AD">
      <w:pPr>
        <w:ind w:left="-851" w:right="-897"/>
        <w:rPr>
          <w:sz w:val="24"/>
          <w:szCs w:val="24"/>
        </w:rPr>
      </w:pPr>
      <w:r w:rsidRPr="00D67FA9">
        <w:rPr>
          <w:sz w:val="24"/>
          <w:szCs w:val="24"/>
        </w:rPr>
        <w:t>The general position is that if information is given in circumstances where it is expected that a duty of confidence applies, that information cannot normally be disclosed without the information provider's consent.</w:t>
      </w:r>
    </w:p>
    <w:p w:rsidR="000361AD" w:rsidRPr="00D67FA9" w:rsidRDefault="000361AD" w:rsidP="000361AD">
      <w:pPr>
        <w:ind w:left="-851" w:right="-897"/>
        <w:rPr>
          <w:sz w:val="24"/>
          <w:szCs w:val="24"/>
        </w:rPr>
      </w:pPr>
      <w:r w:rsidRPr="00D67FA9">
        <w:rPr>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0361AD" w:rsidRPr="00D67FA9" w:rsidRDefault="000361AD" w:rsidP="000361AD">
      <w:pPr>
        <w:ind w:left="-851" w:right="-897"/>
        <w:rPr>
          <w:sz w:val="24"/>
          <w:szCs w:val="24"/>
        </w:rPr>
      </w:pPr>
      <w:r w:rsidRPr="00D67FA9">
        <w:rPr>
          <w:sz w:val="24"/>
          <w:szCs w:val="24"/>
        </w:rPr>
        <w:t>Three circumstances making disclosure of confidential information lawful are:</w:t>
      </w:r>
    </w:p>
    <w:p w:rsidR="000361AD" w:rsidRPr="00D67FA9" w:rsidRDefault="000361AD" w:rsidP="000361AD">
      <w:pPr>
        <w:numPr>
          <w:ilvl w:val="0"/>
          <w:numId w:val="1"/>
        </w:numPr>
        <w:spacing w:after="200" w:line="276" w:lineRule="auto"/>
        <w:rPr>
          <w:sz w:val="24"/>
          <w:szCs w:val="24"/>
        </w:rPr>
      </w:pPr>
      <w:r w:rsidRPr="00D67FA9">
        <w:rPr>
          <w:sz w:val="24"/>
          <w:szCs w:val="24"/>
        </w:rPr>
        <w:t>where the individual to whom the information relates has consented;</w:t>
      </w:r>
    </w:p>
    <w:p w:rsidR="000361AD" w:rsidRPr="00D67FA9" w:rsidRDefault="000361AD" w:rsidP="000361AD">
      <w:pPr>
        <w:numPr>
          <w:ilvl w:val="0"/>
          <w:numId w:val="1"/>
        </w:numPr>
        <w:spacing w:after="200" w:line="276" w:lineRule="auto"/>
        <w:rPr>
          <w:sz w:val="24"/>
          <w:szCs w:val="24"/>
        </w:rPr>
      </w:pPr>
      <w:r w:rsidRPr="00D67FA9">
        <w:rPr>
          <w:sz w:val="24"/>
          <w:szCs w:val="24"/>
        </w:rPr>
        <w:t>where disclosure is in the public interest; and</w:t>
      </w:r>
    </w:p>
    <w:p w:rsidR="000361AD" w:rsidRPr="00607CA4" w:rsidRDefault="000361AD" w:rsidP="000361AD">
      <w:pPr>
        <w:numPr>
          <w:ilvl w:val="0"/>
          <w:numId w:val="1"/>
        </w:numPr>
        <w:spacing w:after="200" w:line="276" w:lineRule="auto"/>
        <w:rPr>
          <w:sz w:val="24"/>
          <w:szCs w:val="24"/>
        </w:rPr>
      </w:pPr>
      <w:proofErr w:type="gramStart"/>
      <w:r w:rsidRPr="00607CA4">
        <w:rPr>
          <w:sz w:val="24"/>
          <w:szCs w:val="24"/>
        </w:rPr>
        <w:t>where</w:t>
      </w:r>
      <w:proofErr w:type="gramEnd"/>
      <w:r w:rsidRPr="00607CA4">
        <w:rPr>
          <w:sz w:val="24"/>
          <w:szCs w:val="24"/>
        </w:rPr>
        <w:t xml:space="preserve"> there is a legal duty to d</w:t>
      </w:r>
      <w:r w:rsidR="00607CA4">
        <w:rPr>
          <w:sz w:val="24"/>
          <w:szCs w:val="24"/>
        </w:rPr>
        <w:t>o so, for example a court order.</w:t>
      </w:r>
    </w:p>
    <w:sectPr w:rsidR="000361AD" w:rsidRPr="00607C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11E0F"/>
    <w:multiLevelType w:val="hybridMultilevel"/>
    <w:tmpl w:val="CD0CF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1AD"/>
    <w:rsid w:val="000361AD"/>
    <w:rsid w:val="0009727F"/>
    <w:rsid w:val="000F0A95"/>
    <w:rsid w:val="000F7195"/>
    <w:rsid w:val="00460DC4"/>
    <w:rsid w:val="005908AE"/>
    <w:rsid w:val="00607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A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361AD"/>
    <w:rPr>
      <w:rFonts w:ascii="Times New Roman" w:hAnsi="Times New Roman" w:cs="Times New Roman" w:hint="default"/>
      <w:color w:val="0000FF"/>
      <w:u w:val="single"/>
    </w:rPr>
  </w:style>
  <w:style w:type="paragraph" w:customStyle="1" w:styleId="Default">
    <w:name w:val="Default"/>
    <w:basedOn w:val="Normal"/>
    <w:rsid w:val="000361AD"/>
    <w:pPr>
      <w:autoSpaceDE w:val="0"/>
      <w:autoSpaceDN w:val="0"/>
      <w:spacing w:after="0" w:line="240" w:lineRule="auto"/>
    </w:pPr>
    <w:rPr>
      <w:rFonts w:ascii="Arial" w:eastAsia="Calibri" w:hAnsi="Arial" w:cs="Arial"/>
      <w:color w:val="000000"/>
      <w:sz w:val="24"/>
      <w:szCs w:val="24"/>
      <w:lang w:eastAsia="en-GB"/>
    </w:rPr>
  </w:style>
  <w:style w:type="character" w:styleId="FollowedHyperlink">
    <w:name w:val="FollowedHyperlink"/>
    <w:basedOn w:val="DefaultParagraphFont"/>
    <w:uiPriority w:val="99"/>
    <w:semiHidden/>
    <w:unhideWhenUsed/>
    <w:rsid w:val="000361AD"/>
    <w:rPr>
      <w:color w:val="800080" w:themeColor="followedHyperlink"/>
      <w:u w:val="single"/>
    </w:rPr>
  </w:style>
  <w:style w:type="paragraph" w:styleId="NormalWeb">
    <w:name w:val="Normal (Web)"/>
    <w:basedOn w:val="Normal"/>
    <w:uiPriority w:val="99"/>
    <w:unhideWhenUsed/>
    <w:rsid w:val="000F7195"/>
    <w:pPr>
      <w:spacing w:before="100" w:beforeAutospacing="1" w:after="100" w:afterAutospacing="1" w:line="240" w:lineRule="auto"/>
    </w:pPr>
    <w:rPr>
      <w:rFonts w:ascii="Times New Roman" w:eastAsia="Calibri"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A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361AD"/>
    <w:rPr>
      <w:rFonts w:ascii="Times New Roman" w:hAnsi="Times New Roman" w:cs="Times New Roman" w:hint="default"/>
      <w:color w:val="0000FF"/>
      <w:u w:val="single"/>
    </w:rPr>
  </w:style>
  <w:style w:type="paragraph" w:customStyle="1" w:styleId="Default">
    <w:name w:val="Default"/>
    <w:basedOn w:val="Normal"/>
    <w:rsid w:val="000361AD"/>
    <w:pPr>
      <w:autoSpaceDE w:val="0"/>
      <w:autoSpaceDN w:val="0"/>
      <w:spacing w:after="0" w:line="240" w:lineRule="auto"/>
    </w:pPr>
    <w:rPr>
      <w:rFonts w:ascii="Arial" w:eastAsia="Calibri" w:hAnsi="Arial" w:cs="Arial"/>
      <w:color w:val="000000"/>
      <w:sz w:val="24"/>
      <w:szCs w:val="24"/>
      <w:lang w:eastAsia="en-GB"/>
    </w:rPr>
  </w:style>
  <w:style w:type="character" w:styleId="FollowedHyperlink">
    <w:name w:val="FollowedHyperlink"/>
    <w:basedOn w:val="DefaultParagraphFont"/>
    <w:uiPriority w:val="99"/>
    <w:semiHidden/>
    <w:unhideWhenUsed/>
    <w:rsid w:val="000361AD"/>
    <w:rPr>
      <w:color w:val="800080" w:themeColor="followedHyperlink"/>
      <w:u w:val="single"/>
    </w:rPr>
  </w:style>
  <w:style w:type="paragraph" w:styleId="NormalWeb">
    <w:name w:val="Normal (Web)"/>
    <w:basedOn w:val="Normal"/>
    <w:uiPriority w:val="99"/>
    <w:unhideWhenUsed/>
    <w:rsid w:val="000F7195"/>
    <w:pPr>
      <w:spacing w:before="100" w:beforeAutospacing="1" w:after="100" w:afterAutospacing="1" w:line="240" w:lineRule="auto"/>
    </w:pPr>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i@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global/contact-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emis2000</cp:lastModifiedBy>
  <cp:revision>2</cp:revision>
  <dcterms:created xsi:type="dcterms:W3CDTF">2018-05-25T11:30:00Z</dcterms:created>
  <dcterms:modified xsi:type="dcterms:W3CDTF">2018-05-25T11:30:00Z</dcterms:modified>
</cp:coreProperties>
</file>